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Times New Roman" w:eastAsia="仿宋_GB2312"/>
          <w:sz w:val="32"/>
          <w:szCs w:val="32"/>
        </w:rPr>
      </w:pPr>
      <w:r>
        <w:rPr>
          <w:rFonts w:hint="eastAsia" w:ascii="仿宋_GB2312" w:hAnsi="Times New Roman" w:eastAsia="仿宋_GB2312"/>
          <w:sz w:val="32"/>
          <w:szCs w:val="32"/>
        </w:rPr>
        <w:t>附件</w:t>
      </w:r>
      <w:r>
        <w:rPr>
          <w:rFonts w:ascii="仿宋_GB2312" w:hAnsi="Times New Roman" w:eastAsia="仿宋_GB2312"/>
          <w:sz w:val="32"/>
          <w:szCs w:val="32"/>
        </w:rPr>
        <w:t>1</w:t>
      </w:r>
      <w:r>
        <w:rPr>
          <w:rFonts w:hint="eastAsia" w:ascii="仿宋_GB2312" w:hAnsi="Times New Roman" w:eastAsia="仿宋_GB2312"/>
          <w:sz w:val="32"/>
          <w:szCs w:val="32"/>
        </w:rPr>
        <w:t>：</w:t>
      </w:r>
    </w:p>
    <w:p>
      <w:pPr>
        <w:spacing w:line="520" w:lineRule="exact"/>
        <w:jc w:val="center"/>
        <w:rPr>
          <w:rFonts w:ascii="方正小标宋简体" w:hAnsi="Times New Roman" w:eastAsia="方正小标宋简体"/>
          <w:sz w:val="32"/>
          <w:szCs w:val="32"/>
        </w:rPr>
      </w:pPr>
      <w:r>
        <w:rPr>
          <w:rFonts w:hint="eastAsia" w:ascii="方正小标宋简体" w:hAnsi="Times New Roman" w:eastAsia="方正小标宋简体"/>
          <w:sz w:val="32"/>
          <w:szCs w:val="32"/>
        </w:rPr>
        <w:t>作品审核参考指标</w:t>
      </w:r>
    </w:p>
    <w:tbl>
      <w:tblPr>
        <w:tblStyle w:val="11"/>
        <w:tblpPr w:leftFromText="180" w:rightFromText="180" w:vertAnchor="text" w:horzAnchor="margin" w:tblpX="-351" w:tblpY="10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556"/>
        <w:gridCol w:w="1559"/>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7" w:type="dxa"/>
            <w:gridSpan w:val="3"/>
            <w:vAlign w:val="center"/>
          </w:tcPr>
          <w:p>
            <w:pPr>
              <w:ind w:left="-283" w:leftChars="-135" w:firstLine="284" w:firstLineChars="118"/>
              <w:jc w:val="center"/>
              <w:rPr>
                <w:rFonts w:ascii="仿宋_GB2312" w:hAnsi="Times New Roman" w:eastAsia="仿宋_GB2312"/>
                <w:b/>
                <w:sz w:val="24"/>
                <w:szCs w:val="24"/>
              </w:rPr>
            </w:pPr>
            <w:r>
              <w:rPr>
                <w:rFonts w:hint="eastAsia" w:ascii="仿宋_GB2312" w:hAnsi="Times New Roman" w:eastAsia="仿宋_GB2312"/>
                <w:b/>
                <w:sz w:val="24"/>
                <w:szCs w:val="24"/>
              </w:rPr>
              <w:t>指标</w:t>
            </w:r>
          </w:p>
        </w:tc>
        <w:tc>
          <w:tcPr>
            <w:tcW w:w="659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727" w:type="dxa"/>
            <w:gridSpan w:val="3"/>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基本要求</w:t>
            </w:r>
          </w:p>
        </w:tc>
        <w:tc>
          <w:tcPr>
            <w:tcW w:w="659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符合寓教于乐、寓学于乐的主题和类型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612" w:type="dxa"/>
            <w:vMerge w:val="restart"/>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一般要求</w:t>
            </w:r>
          </w:p>
        </w:tc>
        <w:tc>
          <w:tcPr>
            <w:tcW w:w="556" w:type="dxa"/>
            <w:vMerge w:val="restart"/>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教育性</w:t>
            </w:r>
          </w:p>
          <w:p>
            <w:pPr>
              <w:jc w:val="center"/>
              <w:rPr>
                <w:rFonts w:ascii="仿宋_GB2312" w:hAnsi="Times New Roman" w:eastAsia="仿宋_GB2312"/>
                <w:sz w:val="24"/>
                <w:szCs w:val="24"/>
              </w:rPr>
            </w:pPr>
            <w:r>
              <w:rPr>
                <w:rFonts w:hint="eastAsia" w:ascii="仿宋_GB2312" w:hAnsi="Times New Roman" w:eastAsia="仿宋_GB2312"/>
                <w:sz w:val="24"/>
                <w:szCs w:val="24"/>
              </w:rPr>
              <w:t>30%</w:t>
            </w: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学习目标</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知识技能情感目标清晰准确，符合教学大纲要求和学习者知识经验；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612" w:type="dxa"/>
            <w:vMerge w:val="continue"/>
            <w:vAlign w:val="center"/>
          </w:tcPr>
          <w:p>
            <w:pPr>
              <w:jc w:val="center"/>
              <w:rPr>
                <w:rFonts w:ascii="仿宋_GB2312" w:hAnsi="Times New Roman" w:eastAsia="仿宋_GB2312"/>
                <w:sz w:val="24"/>
                <w:szCs w:val="24"/>
              </w:rPr>
            </w:pPr>
          </w:p>
        </w:tc>
        <w:tc>
          <w:tcPr>
            <w:tcW w:w="556" w:type="dxa"/>
            <w:vMerge w:val="continue"/>
            <w:vAlign w:val="center"/>
          </w:tcPr>
          <w:p>
            <w:pPr>
              <w:jc w:val="cente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教学内容</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内容科学、正确、规范，知识表述准确无误，符合学生认知规律，取材合适，深度适宜；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612" w:type="dxa"/>
            <w:vMerge w:val="continue"/>
            <w:vAlign w:val="center"/>
          </w:tcPr>
          <w:p>
            <w:pPr>
              <w:rPr>
                <w:rFonts w:ascii="仿宋_GB2312" w:hAnsi="Times New Roman" w:eastAsia="仿宋_GB2312"/>
                <w:sz w:val="24"/>
                <w:szCs w:val="24"/>
              </w:rPr>
            </w:pPr>
          </w:p>
        </w:tc>
        <w:tc>
          <w:tcPr>
            <w:tcW w:w="556" w:type="dxa"/>
            <w:vMerge w:val="continue"/>
            <w:vAlign w:val="center"/>
          </w:tcPr>
          <w:p>
            <w:pP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语言文字</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语言文字规范，无错别字，繁、异体字使用合理。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612" w:type="dxa"/>
            <w:vMerge w:val="continue"/>
            <w:vAlign w:val="center"/>
          </w:tcPr>
          <w:p>
            <w:pPr>
              <w:rPr>
                <w:rFonts w:ascii="仿宋_GB2312" w:hAnsi="Times New Roman" w:eastAsia="仿宋_GB2312"/>
                <w:sz w:val="24"/>
                <w:szCs w:val="24"/>
              </w:rPr>
            </w:pPr>
          </w:p>
        </w:tc>
        <w:tc>
          <w:tcPr>
            <w:tcW w:w="556" w:type="dxa"/>
            <w:vMerge w:val="continue"/>
            <w:vAlign w:val="center"/>
          </w:tcPr>
          <w:p>
            <w:pP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知识反馈</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反馈明确，每个操作步骤都能得到及时的反馈；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612" w:type="dxa"/>
            <w:vMerge w:val="continue"/>
            <w:vAlign w:val="center"/>
          </w:tcPr>
          <w:p>
            <w:pPr>
              <w:rPr>
                <w:rFonts w:ascii="仿宋_GB2312" w:hAnsi="Times New Roman" w:eastAsia="仿宋_GB2312"/>
                <w:sz w:val="24"/>
                <w:szCs w:val="24"/>
              </w:rPr>
            </w:pPr>
          </w:p>
        </w:tc>
        <w:tc>
          <w:tcPr>
            <w:tcW w:w="556" w:type="dxa"/>
            <w:vMerge w:val="continue"/>
            <w:vAlign w:val="center"/>
          </w:tcPr>
          <w:p>
            <w:pP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关卡设计</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符合学习规律，学习者情感体验愉悦，同时满足其自我成就感；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612" w:type="dxa"/>
            <w:vMerge w:val="continue"/>
            <w:vAlign w:val="center"/>
          </w:tcPr>
          <w:p>
            <w:pPr>
              <w:rPr>
                <w:rFonts w:ascii="仿宋_GB2312" w:hAnsi="Times New Roman" w:eastAsia="仿宋_GB2312"/>
                <w:sz w:val="24"/>
                <w:szCs w:val="24"/>
              </w:rPr>
            </w:pPr>
          </w:p>
        </w:tc>
        <w:tc>
          <w:tcPr>
            <w:tcW w:w="556" w:type="dxa"/>
            <w:vMerge w:val="continue"/>
            <w:vAlign w:val="center"/>
          </w:tcPr>
          <w:p>
            <w:pP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内容性与挑战性平衡</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教育游戏软件的使用，应有助于教育教学，而非仅简单地作为载体，学习内容和挑战平衡；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612" w:type="dxa"/>
            <w:vMerge w:val="continue"/>
            <w:vAlign w:val="center"/>
          </w:tcPr>
          <w:p>
            <w:pPr>
              <w:rPr>
                <w:rFonts w:ascii="仿宋_GB2312" w:hAnsi="Times New Roman" w:eastAsia="仿宋_GB2312"/>
                <w:sz w:val="24"/>
                <w:szCs w:val="24"/>
              </w:rPr>
            </w:pPr>
          </w:p>
        </w:tc>
        <w:tc>
          <w:tcPr>
            <w:tcW w:w="556" w:type="dxa"/>
            <w:vMerge w:val="restart"/>
            <w:vAlign w:val="center"/>
          </w:tcPr>
          <w:p>
            <w:pPr>
              <w:rPr>
                <w:rFonts w:ascii="仿宋_GB2312" w:hAnsi="Times New Roman" w:eastAsia="仿宋_GB2312"/>
                <w:sz w:val="24"/>
                <w:szCs w:val="24"/>
              </w:rPr>
            </w:pPr>
            <w:r>
              <w:rPr>
                <w:rFonts w:hint="eastAsia" w:ascii="仿宋_GB2312" w:hAnsi="Times New Roman" w:eastAsia="仿宋_GB2312"/>
                <w:sz w:val="24"/>
                <w:szCs w:val="24"/>
              </w:rPr>
              <w:t>游戏性</w:t>
            </w:r>
          </w:p>
          <w:p>
            <w:pPr>
              <w:rPr>
                <w:rFonts w:ascii="仿宋_GB2312" w:hAnsi="Times New Roman" w:eastAsia="仿宋_GB2312"/>
                <w:sz w:val="24"/>
                <w:szCs w:val="24"/>
              </w:rPr>
            </w:pPr>
            <w:r>
              <w:rPr>
                <w:rFonts w:hint="eastAsia" w:ascii="仿宋_GB2312" w:hAnsi="Times New Roman" w:eastAsia="仿宋_GB2312"/>
                <w:sz w:val="24"/>
                <w:szCs w:val="24"/>
              </w:rPr>
              <w:t>25%</w:t>
            </w: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游戏挑战性</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挑战性适中，稍高于学习者的能力水平，能充分激发学习者内在动力；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612" w:type="dxa"/>
            <w:vMerge w:val="continue"/>
            <w:vAlign w:val="center"/>
          </w:tcPr>
          <w:p>
            <w:pPr>
              <w:rPr>
                <w:rFonts w:ascii="仿宋_GB2312" w:hAnsi="Times New Roman" w:eastAsia="仿宋_GB2312"/>
                <w:sz w:val="24"/>
                <w:szCs w:val="24"/>
              </w:rPr>
            </w:pPr>
          </w:p>
        </w:tc>
        <w:tc>
          <w:tcPr>
            <w:tcW w:w="556" w:type="dxa"/>
            <w:vMerge w:val="continue"/>
            <w:vAlign w:val="center"/>
          </w:tcPr>
          <w:p>
            <w:pP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激励机制</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软件有适当的奖惩措施，能激发学习者继续参与、学习的动机；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612" w:type="dxa"/>
            <w:vMerge w:val="continue"/>
            <w:vAlign w:val="center"/>
          </w:tcPr>
          <w:p>
            <w:pPr>
              <w:rPr>
                <w:rFonts w:ascii="仿宋_GB2312" w:hAnsi="Times New Roman" w:eastAsia="仿宋_GB2312"/>
                <w:sz w:val="24"/>
                <w:szCs w:val="24"/>
              </w:rPr>
            </w:pPr>
          </w:p>
        </w:tc>
        <w:tc>
          <w:tcPr>
            <w:tcW w:w="556" w:type="dxa"/>
            <w:vMerge w:val="continue"/>
            <w:vAlign w:val="center"/>
          </w:tcPr>
          <w:p>
            <w:pP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游戏故事情节</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故事情节具有吸引力，能集中学习者注意力；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612" w:type="dxa"/>
            <w:vMerge w:val="continue"/>
            <w:vAlign w:val="center"/>
          </w:tcPr>
          <w:p>
            <w:pPr>
              <w:rPr>
                <w:rFonts w:ascii="仿宋_GB2312" w:hAnsi="Times New Roman" w:eastAsia="仿宋_GB2312"/>
                <w:sz w:val="24"/>
                <w:szCs w:val="24"/>
              </w:rPr>
            </w:pPr>
          </w:p>
        </w:tc>
        <w:tc>
          <w:tcPr>
            <w:tcW w:w="556" w:type="dxa"/>
            <w:vMerge w:val="continue"/>
            <w:vAlign w:val="center"/>
          </w:tcPr>
          <w:p>
            <w:pP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游戏体验</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游戏沉浸感、满足感和愉悦感强，重复可体验性高；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612" w:type="dxa"/>
            <w:vMerge w:val="continue"/>
            <w:vAlign w:val="center"/>
          </w:tcPr>
          <w:p>
            <w:pPr>
              <w:rPr>
                <w:rFonts w:ascii="仿宋_GB2312" w:hAnsi="Times New Roman" w:eastAsia="仿宋_GB2312"/>
                <w:sz w:val="24"/>
                <w:szCs w:val="24"/>
              </w:rPr>
            </w:pPr>
          </w:p>
        </w:tc>
        <w:tc>
          <w:tcPr>
            <w:tcW w:w="556" w:type="dxa"/>
            <w:vMerge w:val="continue"/>
            <w:vAlign w:val="center"/>
          </w:tcPr>
          <w:p>
            <w:pP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知识与游戏的融合度</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游戏形式与知识匹配程度高，形式多样 ，且符合教学内容和要求；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612" w:type="dxa"/>
            <w:vMerge w:val="continue"/>
            <w:vAlign w:val="center"/>
          </w:tcPr>
          <w:p>
            <w:pPr>
              <w:jc w:val="center"/>
              <w:rPr>
                <w:rFonts w:ascii="仿宋_GB2312" w:hAnsi="Times New Roman" w:eastAsia="仿宋_GB2312"/>
                <w:sz w:val="24"/>
                <w:szCs w:val="24"/>
              </w:rPr>
            </w:pPr>
          </w:p>
        </w:tc>
        <w:tc>
          <w:tcPr>
            <w:tcW w:w="556" w:type="dxa"/>
            <w:vMerge w:val="restart"/>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艺术性</w:t>
            </w:r>
          </w:p>
          <w:p>
            <w:pPr>
              <w:jc w:val="center"/>
              <w:rPr>
                <w:rFonts w:ascii="仿宋_GB2312" w:hAnsi="Times New Roman" w:eastAsia="仿宋_GB2312"/>
                <w:sz w:val="24"/>
                <w:szCs w:val="24"/>
              </w:rPr>
            </w:pPr>
            <w:r>
              <w:rPr>
                <w:rFonts w:hint="eastAsia" w:ascii="仿宋_GB2312" w:hAnsi="Times New Roman" w:eastAsia="仿宋_GB2312"/>
                <w:sz w:val="24"/>
                <w:szCs w:val="24"/>
              </w:rPr>
              <w:t>20%</w:t>
            </w: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界面设计</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界面设计清晰、美观、协调，符合所呈现内容及教学对象；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612" w:type="dxa"/>
            <w:vMerge w:val="continue"/>
            <w:vAlign w:val="center"/>
          </w:tcPr>
          <w:p>
            <w:pPr>
              <w:jc w:val="center"/>
              <w:rPr>
                <w:rFonts w:ascii="仿宋_GB2312" w:hAnsi="Times New Roman" w:eastAsia="仿宋_GB2312"/>
                <w:sz w:val="24"/>
                <w:szCs w:val="24"/>
              </w:rPr>
            </w:pPr>
          </w:p>
        </w:tc>
        <w:tc>
          <w:tcPr>
            <w:tcW w:w="556" w:type="dxa"/>
            <w:vMerge w:val="continue"/>
            <w:vAlign w:val="center"/>
          </w:tcPr>
          <w:p>
            <w:pPr>
              <w:jc w:val="cente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导航标识</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导航体系友好，无需专门训练即能使使用者了解课件结构并进行操作；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612" w:type="dxa"/>
            <w:vMerge w:val="continue"/>
            <w:vAlign w:val="center"/>
          </w:tcPr>
          <w:p>
            <w:pPr>
              <w:jc w:val="center"/>
              <w:rPr>
                <w:rFonts w:ascii="仿宋_GB2312" w:hAnsi="Times New Roman" w:eastAsia="仿宋_GB2312"/>
                <w:sz w:val="24"/>
                <w:szCs w:val="24"/>
              </w:rPr>
            </w:pPr>
          </w:p>
        </w:tc>
        <w:tc>
          <w:tcPr>
            <w:tcW w:w="556" w:type="dxa"/>
            <w:vMerge w:val="continue"/>
            <w:vAlign w:val="center"/>
          </w:tcPr>
          <w:p>
            <w:pPr>
              <w:jc w:val="cente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媒体选择设计</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图像、声音、颜色等的运用，声画结合，有感染力，能对软件起积极补充作用；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612" w:type="dxa"/>
            <w:vMerge w:val="continue"/>
            <w:vAlign w:val="center"/>
          </w:tcPr>
          <w:p>
            <w:pPr>
              <w:rPr>
                <w:rFonts w:ascii="仿宋_GB2312" w:hAnsi="Times New Roman" w:eastAsia="仿宋_GB2312"/>
                <w:sz w:val="24"/>
                <w:szCs w:val="24"/>
              </w:rPr>
            </w:pPr>
          </w:p>
        </w:tc>
        <w:tc>
          <w:tcPr>
            <w:tcW w:w="556" w:type="dxa"/>
            <w:vMerge w:val="continue"/>
            <w:vAlign w:val="center"/>
          </w:tcPr>
          <w:p>
            <w:pP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界面效果</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界面精细逼真，布局合理，设计简明，重点突出；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612" w:type="dxa"/>
            <w:vMerge w:val="continue"/>
            <w:vAlign w:val="center"/>
          </w:tcPr>
          <w:p>
            <w:pPr>
              <w:jc w:val="center"/>
              <w:rPr>
                <w:rFonts w:ascii="仿宋_GB2312" w:hAnsi="Times New Roman" w:eastAsia="仿宋_GB2312"/>
                <w:sz w:val="24"/>
                <w:szCs w:val="24"/>
              </w:rPr>
            </w:pPr>
          </w:p>
        </w:tc>
        <w:tc>
          <w:tcPr>
            <w:tcW w:w="556" w:type="dxa"/>
            <w:vMerge w:val="restart"/>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技术性</w:t>
            </w:r>
          </w:p>
          <w:p>
            <w:pPr>
              <w:jc w:val="center"/>
              <w:rPr>
                <w:rFonts w:ascii="仿宋_GB2312" w:hAnsi="Times New Roman" w:eastAsia="仿宋_GB2312"/>
                <w:sz w:val="24"/>
                <w:szCs w:val="24"/>
              </w:rPr>
            </w:pPr>
            <w:r>
              <w:rPr>
                <w:rFonts w:hint="eastAsia" w:ascii="仿宋_GB2312" w:hAnsi="Times New Roman" w:eastAsia="仿宋_GB2312"/>
                <w:sz w:val="24"/>
                <w:szCs w:val="24"/>
              </w:rPr>
              <w:t>15%</w:t>
            </w: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操作水平</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用户指导内容完备，开发所用的主体技术应符合主流及未来发展方向，但不一味追求新与奇，以符合其功能为标准；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trPr>
        <w:tc>
          <w:tcPr>
            <w:tcW w:w="612" w:type="dxa"/>
            <w:vMerge w:val="continue"/>
            <w:vAlign w:val="center"/>
          </w:tcPr>
          <w:p>
            <w:pPr>
              <w:jc w:val="center"/>
              <w:rPr>
                <w:rFonts w:ascii="仿宋_GB2312" w:hAnsi="Times New Roman" w:eastAsia="仿宋_GB2312"/>
                <w:sz w:val="24"/>
                <w:szCs w:val="24"/>
              </w:rPr>
            </w:pPr>
          </w:p>
        </w:tc>
        <w:tc>
          <w:tcPr>
            <w:tcW w:w="556" w:type="dxa"/>
            <w:vMerge w:val="continue"/>
            <w:vAlign w:val="center"/>
          </w:tcPr>
          <w:p>
            <w:pPr>
              <w:jc w:val="cente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运行状况</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各功能正确无误，响应速度快，纠错性能好，在运行过程中不出故障，稳定性好；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612" w:type="dxa"/>
            <w:vMerge w:val="continue"/>
            <w:vAlign w:val="center"/>
          </w:tcPr>
          <w:p>
            <w:pPr>
              <w:jc w:val="center"/>
              <w:rPr>
                <w:rFonts w:ascii="仿宋_GB2312" w:hAnsi="Times New Roman" w:eastAsia="仿宋_GB2312"/>
                <w:sz w:val="24"/>
                <w:szCs w:val="24"/>
              </w:rPr>
            </w:pPr>
          </w:p>
        </w:tc>
        <w:tc>
          <w:tcPr>
            <w:tcW w:w="556" w:type="dxa"/>
            <w:vMerge w:val="continue"/>
            <w:vAlign w:val="center"/>
          </w:tcPr>
          <w:p>
            <w:pPr>
              <w:jc w:val="center"/>
              <w:rPr>
                <w:rFonts w:ascii="仿宋_GB2312" w:hAnsi="Times New Roman" w:eastAsia="仿宋_GB2312"/>
                <w:sz w:val="24"/>
                <w:szCs w:val="24"/>
              </w:rPr>
            </w:pPr>
          </w:p>
        </w:tc>
        <w:tc>
          <w:tcPr>
            <w:tcW w:w="155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操作方式</w:t>
            </w:r>
          </w:p>
        </w:tc>
        <w:tc>
          <w:tcPr>
            <w:tcW w:w="6595"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按键的位置、游戏操作方式符合常人的习惯，使用顺手；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2727" w:type="dxa"/>
            <w:gridSpan w:val="3"/>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总体效果10%</w:t>
            </w:r>
          </w:p>
        </w:tc>
        <w:tc>
          <w:tcPr>
            <w:tcW w:w="659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在游戏应用于教育教学的某一方面有所创新且有推广价值的作品可适当加分。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1" w:csb1="00000000"/>
  </w:font>
  <w:font w:name="方正小标宋简体">
    <w:altName w:val="Arial Unicode MS"/>
    <w:panose1 w:val="03000509000000000000"/>
    <w:charset w:val="86"/>
    <w:family w:val="script"/>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837D"/>
    <w:multiLevelType w:val="multilevel"/>
    <w:tmpl w:val="0835837D"/>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5CE7BA60"/>
    <w:multiLevelType w:val="multilevel"/>
    <w:tmpl w:val="5CE7BA60"/>
    <w:lvl w:ilvl="0" w:tentative="0">
      <w:start w:val="1"/>
      <w:numFmt w:val="chineseCounting"/>
      <w:pStyle w:val="4"/>
      <w:suff w:val="nothing"/>
      <w:lvlText w:val="第%1章 "/>
      <w:lvlJc w:val="left"/>
      <w:pPr>
        <w:tabs>
          <w:tab w:val="left" w:pos="0"/>
        </w:tabs>
        <w:ind w:left="425" w:hanging="425"/>
      </w:pPr>
      <w:rPr>
        <w:rFonts w:hint="eastAsia"/>
      </w:rPr>
    </w:lvl>
    <w:lvl w:ilvl="1" w:tentative="0">
      <w:start w:val="1"/>
      <w:numFmt w:val="decimal"/>
      <w:isLgl/>
      <w:lvlText w:val="%1.%2."/>
      <w:lvlJc w:val="left"/>
      <w:pPr>
        <w:tabs>
          <w:tab w:val="left" w:pos="420"/>
        </w:tabs>
        <w:ind w:left="567" w:hanging="567"/>
      </w:pPr>
      <w:rPr>
        <w:rFonts w:hint="eastAsia" w:ascii="宋体" w:hAnsi="宋体" w:eastAsia="宋体" w:cs="宋体"/>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85DD2"/>
    <w:rsid w:val="278D10D1"/>
    <w:rsid w:val="2C453C59"/>
    <w:rsid w:val="2D385DD2"/>
    <w:rsid w:val="363A306C"/>
    <w:rsid w:val="524E45E6"/>
    <w:rsid w:val="62534845"/>
    <w:rsid w:val="668B235C"/>
    <w:rsid w:val="74C06817"/>
    <w:rsid w:val="761E2502"/>
    <w:rsid w:val="769B1B50"/>
    <w:rsid w:val="7E9969BB"/>
    <w:rsid w:val="7ED93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rFonts w:ascii="Calibri" w:hAnsi="Calibri" w:eastAsia="宋体" w:cs="Times New Roman"/>
      <w:b/>
      <w:kern w:val="44"/>
      <w:sz w:val="21"/>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firstLine="0"/>
      <w:outlineLvl w:val="1"/>
    </w:pPr>
    <w:rPr>
      <w:rFonts w:ascii="Arial" w:hAnsi="Arial" w:eastAsia="宋体" w:cs="Times New Roman"/>
      <w:b/>
    </w:rPr>
  </w:style>
  <w:style w:type="paragraph" w:styleId="4">
    <w:name w:val="heading 3"/>
    <w:basedOn w:val="1"/>
    <w:next w:val="1"/>
    <w:link w:val="13"/>
    <w:semiHidden/>
    <w:unhideWhenUsed/>
    <w:qFormat/>
    <w:uiPriority w:val="0"/>
    <w:pPr>
      <w:keepNext/>
      <w:keepLines/>
      <w:numPr>
        <w:ilvl w:val="0"/>
        <w:numId w:val="2"/>
      </w:numPr>
      <w:spacing w:before="260" w:after="260" w:line="416" w:lineRule="auto"/>
      <w:outlineLvl w:val="2"/>
    </w:pPr>
    <w:rPr>
      <w:rFonts w:ascii="Calibri" w:hAnsi="Calibri" w:eastAsia="宋体" w:cs="Times New Roman"/>
      <w:bCs/>
      <w:szCs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宋体" w:cs="Times New Roman"/>
      <w:sz w:val="1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2">
    <w:name w:val="Default Paragraph Font"/>
    <w:unhideWhenUsed/>
    <w:uiPriority w:val="1"/>
  </w:style>
  <w:style w:type="table" w:default="1" w:styleId="11">
    <w:name w:val="Normal Table"/>
    <w:semiHidden/>
    <w:uiPriority w:val="0"/>
    <w:tblPr>
      <w:tblCellMar>
        <w:top w:w="0" w:type="dxa"/>
        <w:left w:w="108" w:type="dxa"/>
        <w:bottom w:w="0" w:type="dxa"/>
        <w:right w:w="108" w:type="dxa"/>
      </w:tblCellMar>
    </w:tblPr>
  </w:style>
  <w:style w:type="character" w:customStyle="1" w:styleId="13">
    <w:name w:val="标题 3 Char"/>
    <w:basedOn w:val="12"/>
    <w:link w:val="4"/>
    <w:qFormat/>
    <w:uiPriority w:val="9"/>
    <w:rPr>
      <w:rFonts w:ascii="Calibri" w:hAnsi="Calibri" w:eastAsia="宋体" w:cs="Times New Roman"/>
      <w:bCs/>
      <w:sz w:val="21"/>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2020-09-07T06:09:00Z</dcterms:created>
  <dc:creator>陈</dc:creator>
  <cp:lastModifiedBy>陈</cp:lastModifiedBy>
  <dcterms:modified xsi:type="dcterms:W3CDTF">2020-09-07T06:10:10Z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